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742E" w14:textId="140BDAD6" w:rsidR="008E3735" w:rsidRDefault="000B66B9" w:rsidP="000B66B9">
      <w:pPr>
        <w:rPr>
          <w:b/>
          <w:bCs/>
        </w:rPr>
      </w:pPr>
      <w:r w:rsidRPr="000B66B9">
        <w:rPr>
          <w:b/>
          <w:bCs/>
        </w:rPr>
        <w:t xml:space="preserve">Animals a </w:t>
      </w:r>
      <w:proofErr w:type="spellStart"/>
      <w:r w:rsidRPr="000B66B9">
        <w:rPr>
          <w:b/>
          <w:bCs/>
        </w:rPr>
        <w:t>crime</w:t>
      </w:r>
      <w:proofErr w:type="spellEnd"/>
      <w:r w:rsidRPr="000B66B9">
        <w:rPr>
          <w:b/>
          <w:bCs/>
        </w:rPr>
        <w:t xml:space="preserve"> erstattet Strafanzeige gegen Landwirtschaft Wallhausen GmbH &amp; Co. KG (WM AGRAR), vertreten durch den Geschäftsführer Herr Mark </w:t>
      </w:r>
      <w:proofErr w:type="spellStart"/>
      <w:r w:rsidRPr="000B66B9">
        <w:rPr>
          <w:b/>
          <w:bCs/>
        </w:rPr>
        <w:t>Woestmann</w:t>
      </w:r>
      <w:proofErr w:type="spellEnd"/>
      <w:r w:rsidRPr="000B66B9">
        <w:rPr>
          <w:b/>
          <w:bCs/>
        </w:rPr>
        <w:t xml:space="preserve"> auf Grundlage von Verdacht des Verstoßes gegen § 17 Nr. 1, Nr. 2 a) und b) des deutschen Tierschutzgesetzes</w:t>
      </w:r>
    </w:p>
    <w:p w14:paraId="7BDAF01C" w14:textId="77777777" w:rsidR="000B66B9" w:rsidRDefault="000B66B9" w:rsidP="000B66B9">
      <w:pPr>
        <w:rPr>
          <w:b/>
          <w:bCs/>
        </w:rPr>
      </w:pPr>
    </w:p>
    <w:p w14:paraId="03C7C8BC" w14:textId="77777777" w:rsidR="000B66B9" w:rsidRDefault="000B66B9" w:rsidP="000B66B9">
      <w:pPr>
        <w:jc w:val="both"/>
      </w:pPr>
      <w:r w:rsidRPr="000B66B9">
        <w:t>Bei der WM AGRAR handelt es sich um einen Unternehmensverbund, zu dem auch ein Schweinemastbetrieb mit Ferkelerzeugungsanlage in Wallhausen (Sachsen-Anhalt) gehört. In diesem Betrieb werden nach Angabe etwa 11.000 Sauen und Ferkel gehalten.</w:t>
      </w:r>
      <w:r>
        <w:rPr>
          <w:b/>
          <w:bCs/>
        </w:rPr>
        <w:t xml:space="preserve"> </w:t>
      </w:r>
      <w:r>
        <w:t xml:space="preserve">Animals a </w:t>
      </w:r>
      <w:proofErr w:type="spellStart"/>
      <w:r>
        <w:t>crime</w:t>
      </w:r>
      <w:proofErr w:type="spellEnd"/>
      <w:r>
        <w:t xml:space="preserve"> wurde durch die Veröffentlichung eines Videos von MDR Investigativ und </w:t>
      </w:r>
      <w:proofErr w:type="spellStart"/>
      <w:r>
        <w:t>Uncover</w:t>
      </w:r>
      <w:proofErr w:type="spellEnd"/>
      <w:r>
        <w:t xml:space="preserve"> e.V. auf die tierschutzrechtlichen Missstände in den Stallungen aufmerksam. In diesem Video ist das unsachgemäße und leidvollen Töten von Ferkel zu sehen. Die Kameras wurden Monate zuvor von </w:t>
      </w:r>
      <w:proofErr w:type="spellStart"/>
      <w:proofErr w:type="gramStart"/>
      <w:r>
        <w:t>Tierschutzaktivist:innen</w:t>
      </w:r>
      <w:proofErr w:type="spellEnd"/>
      <w:proofErr w:type="gramEnd"/>
      <w:r>
        <w:t xml:space="preserve"> auf dem Betriebsgelände versteckt und nun durch die Arbeit von </w:t>
      </w:r>
      <w:proofErr w:type="spellStart"/>
      <w:r>
        <w:t>Uncover</w:t>
      </w:r>
      <w:proofErr w:type="spellEnd"/>
      <w:r>
        <w:t xml:space="preserve"> e. V. an MDR Investigativ herangetragen.</w:t>
      </w:r>
    </w:p>
    <w:p w14:paraId="226C7711" w14:textId="77777777" w:rsidR="000B66B9" w:rsidRDefault="000B66B9" w:rsidP="000B66B9">
      <w:pPr>
        <w:jc w:val="both"/>
      </w:pPr>
      <w:r>
        <w:t xml:space="preserve">Zu sehen ist, wie Ferkel nach ungenügender Betäubung, bei teils vollem Bewusstsein, durch eine Kehlschnitt getötet und anschließend meist noch lebend in die Kadavertonne geworfen werden. Zu großen Teilen werden diese jedoch unsachgemäß und fehlerhaft ausgeführt, die Ferkel verenden erst nach einem andauernden Todeskampf (bis zu 20 min) in der Kadavertonne oder auf dem Boden. </w:t>
      </w:r>
    </w:p>
    <w:p w14:paraId="6EB79BCF" w14:textId="36208571" w:rsidR="000B66B9" w:rsidRDefault="000B66B9" w:rsidP="000B66B9">
      <w:pPr>
        <w:rPr>
          <w:b/>
          <w:bCs/>
        </w:rPr>
      </w:pPr>
    </w:p>
    <w:p w14:paraId="3D2E9A9F" w14:textId="77777777" w:rsidR="000B66B9" w:rsidRPr="008E3CE3" w:rsidRDefault="000B66B9" w:rsidP="000B66B9">
      <w:pPr>
        <w:jc w:val="both"/>
      </w:pPr>
      <w:r w:rsidRPr="001D6B57">
        <w:rPr>
          <w:b/>
          <w:bCs/>
        </w:rPr>
        <w:t>Durch diese Aufnahmen ist der Tatbestand von § 17 Nr. 1 erfüllt, mit dem sich eine Person strafbar macht, die ein Wirbeltier ohne vernünftigen Grund tötet.</w:t>
      </w:r>
      <w:r>
        <w:t xml:space="preserve"> Nach Angaben des Geschäftsführers handelt es sich bei diesen Tötungen, um Nottötungen von unheilbar kranken Tieren. Die Prognose, ob eine Therapie nicht mehr möglich oder erfolgsversprechend ist, muss jedoch individuell von der Veterinärmedizin festgestellt werden. Das Töten sog. „Kümmerer“, also aus ökonomischer Sicht schwächliche und in der Entwicklung verzögerte Ferkel, ist demnach illegal. D</w:t>
      </w:r>
      <w:r w:rsidRPr="00221D7F">
        <w:t>iese müssten individuell gepflegt werden</w:t>
      </w:r>
      <w:r>
        <w:rPr>
          <w:b/>
          <w:bCs/>
        </w:rPr>
        <w:t>.</w:t>
      </w:r>
      <w:r w:rsidRPr="00957102">
        <w:rPr>
          <w:b/>
          <w:bCs/>
        </w:rPr>
        <w:t xml:space="preserve"> Rein wirtschaftliche </w:t>
      </w:r>
      <w:r>
        <w:rPr>
          <w:b/>
          <w:bCs/>
        </w:rPr>
        <w:t>Motive</w:t>
      </w:r>
      <w:r w:rsidRPr="00957102">
        <w:rPr>
          <w:b/>
          <w:bCs/>
        </w:rPr>
        <w:t xml:space="preserve"> stellen keinen vernünftigen Grund dar</w:t>
      </w:r>
      <w:r>
        <w:rPr>
          <w:b/>
          <w:bCs/>
        </w:rPr>
        <w:t>, da die Tiere nicht zum menschlichen Verzehr, sondern um wirtschaftliche Belastungen für den Halter zu vermeiden, getötet werden.</w:t>
      </w:r>
      <w:r w:rsidRPr="00957102">
        <w:rPr>
          <w:b/>
          <w:bCs/>
        </w:rPr>
        <w:t xml:space="preserve"> </w:t>
      </w:r>
      <w:r w:rsidRPr="0037748D">
        <w:t xml:space="preserve">Im Besonderen ist davon auszugehen, dass der Einsatz des Hormons PMSG überhaupt erst zu der Entstehung von überschüssigen Ferkeln, die nicht ausreihend von der Sau genährt werden können, führt. </w:t>
      </w:r>
      <w:r>
        <w:rPr>
          <w:b/>
          <w:bCs/>
        </w:rPr>
        <w:t xml:space="preserve">Aufgrund der Bewegungen und des Kampfes der Ferkel gegen ihr Schicksal ist davon auszugehen, dass es sich bei diesen Tieren nicht um schwer kranke Individuen handelt. </w:t>
      </w:r>
    </w:p>
    <w:p w14:paraId="3FEE8A2C" w14:textId="77777777" w:rsidR="000B66B9" w:rsidRDefault="000B66B9" w:rsidP="000B66B9">
      <w:pPr>
        <w:jc w:val="both"/>
        <w:rPr>
          <w:b/>
          <w:bCs/>
        </w:rPr>
      </w:pPr>
    </w:p>
    <w:p w14:paraId="3D378D9B" w14:textId="77777777" w:rsidR="000B66B9" w:rsidRDefault="000B66B9" w:rsidP="000B66B9">
      <w:pPr>
        <w:jc w:val="both"/>
      </w:pPr>
      <w:r w:rsidRPr="001D6B57">
        <w:rPr>
          <w:b/>
          <w:bCs/>
        </w:rPr>
        <w:t>Weiterhin ist durch die Aufnahmen auch der Tatbestand nach § 17 Nr. 2 b) erfüllt, demnach sich eine Person strafbar macht, welche ein Tier wiederholende oder länger anhaltendes Leiden oder erhebliche Schmerzen zufügt.</w:t>
      </w:r>
      <w:r>
        <w:t xml:space="preserve"> Die Ferkel werden reihenweise fehlerhaft betäubt, die notwendigen Kopfschläge müssen bei manchen Individuen wiederholt und bis zu 8-mal ausgeführt werden. Viele Tiere erleben vollem Bewusstsein und bluten langsam und unter Qualen aus. Des </w:t>
      </w:r>
      <w:proofErr w:type="spellStart"/>
      <w:r>
        <w:t>Weiteren</w:t>
      </w:r>
      <w:proofErr w:type="spellEnd"/>
      <w:r>
        <w:t xml:space="preserve"> wurden etliche, noch eindeutig lebendige Ferkel in die Kadavertonne geworfen, um dort auszubluten. Die Mitarbeiter: innen handeln mit Vorsatz, nutzen zum Teil unzureichendes Werkzeug und nehmen das andauernde Leiden der Tiere in Kauf. </w:t>
      </w:r>
    </w:p>
    <w:p w14:paraId="17404210" w14:textId="77777777" w:rsidR="000B66B9" w:rsidRDefault="000B66B9" w:rsidP="000B66B9">
      <w:pPr>
        <w:jc w:val="both"/>
      </w:pPr>
    </w:p>
    <w:p w14:paraId="17330F9F" w14:textId="77777777" w:rsidR="000B66B9" w:rsidRDefault="000B66B9" w:rsidP="000B66B9">
      <w:pPr>
        <w:jc w:val="both"/>
        <w:rPr>
          <w:b/>
          <w:bCs/>
        </w:rPr>
      </w:pPr>
      <w:r w:rsidRPr="00DA5BA9">
        <w:rPr>
          <w:b/>
          <w:bCs/>
        </w:rPr>
        <w:t xml:space="preserve">Als letztes belegen die Aufnahmen einen Tatbestand nach § 17 Nr. 2 a), demnach sich eine Person schuldig macht, die einem Wirbeltier aus Rohheit erheblichen Schmerzen oder Leiden zufügt. </w:t>
      </w:r>
    </w:p>
    <w:p w14:paraId="1CEAF5E5" w14:textId="77777777" w:rsidR="000B66B9" w:rsidRPr="00DA5BA9" w:rsidRDefault="000B66B9" w:rsidP="000B66B9">
      <w:pPr>
        <w:jc w:val="both"/>
      </w:pPr>
      <w:r>
        <w:lastRenderedPageBreak/>
        <w:t xml:space="preserve">Der Begriff der Rohheit ist durch das Fehlen jedes Mitgefühls mit einem leidenden Tier gegeben. Bewiesen ist dies eindeutig durch zahlreiche Handlungen der betreffenden Mitarbeiter: innen in den Videos. Als Beispiele können hier die Durchführung des Kehlschnittes </w:t>
      </w:r>
      <w:proofErr w:type="gramStart"/>
      <w:r>
        <w:t>trotz unzureichendere Betäubung</w:t>
      </w:r>
      <w:proofErr w:type="gramEnd"/>
      <w:r>
        <w:t xml:space="preserve"> sowie das Werfen noch lebendiger und ausblutender Ferkel in die Kadavertonne genannt werden.</w:t>
      </w:r>
    </w:p>
    <w:p w14:paraId="7CE80F54" w14:textId="77777777" w:rsidR="000B66B9" w:rsidRPr="00957102" w:rsidRDefault="000B66B9" w:rsidP="000B66B9">
      <w:pPr>
        <w:jc w:val="both"/>
      </w:pPr>
    </w:p>
    <w:p w14:paraId="6DA1121C" w14:textId="77777777" w:rsidR="000B66B9" w:rsidRPr="00931EE5" w:rsidRDefault="000B66B9" w:rsidP="000B66B9">
      <w:pPr>
        <w:rPr>
          <w:b/>
          <w:bCs/>
        </w:rPr>
      </w:pPr>
      <w:r w:rsidRPr="00931EE5">
        <w:rPr>
          <w:b/>
          <w:bCs/>
        </w:rPr>
        <w:t xml:space="preserve">Des </w:t>
      </w:r>
      <w:proofErr w:type="spellStart"/>
      <w:r w:rsidRPr="00931EE5">
        <w:rPr>
          <w:b/>
          <w:bCs/>
        </w:rPr>
        <w:t>Weiteren</w:t>
      </w:r>
      <w:proofErr w:type="spellEnd"/>
      <w:r w:rsidRPr="00931EE5">
        <w:rPr>
          <w:b/>
          <w:bCs/>
        </w:rPr>
        <w:t xml:space="preserve"> besteht ein hinreichender Verdacht auf Ordnungswidrigkeiten nach:</w:t>
      </w:r>
    </w:p>
    <w:p w14:paraId="57409B1B" w14:textId="77777777" w:rsidR="000B66B9" w:rsidRPr="00931EE5" w:rsidRDefault="000B66B9" w:rsidP="000B66B9">
      <w:pPr>
        <w:pStyle w:val="Listenabsatz"/>
        <w:numPr>
          <w:ilvl w:val="0"/>
          <w:numId w:val="1"/>
        </w:numPr>
      </w:pPr>
      <w:r w:rsidRPr="00931EE5">
        <w:t xml:space="preserve">§§18 Abs. 1 Nr.3b) TierSchG, 16 Abs. 2 Nr.3 </w:t>
      </w:r>
      <w:proofErr w:type="spellStart"/>
      <w:r w:rsidRPr="00931EE5">
        <w:t>TierSchlV</w:t>
      </w:r>
      <w:proofErr w:type="spellEnd"/>
    </w:p>
    <w:p w14:paraId="648B3A0A"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 xml:space="preserve">§§ 18 Abs. 1 Nr. 3b) TierSchG, 16 Abs. 2 Nr. 5 </w:t>
      </w:r>
      <w:proofErr w:type="spellStart"/>
      <w:r w:rsidRPr="00931EE5">
        <w:rPr>
          <w:rFonts w:asciiTheme="minorHAnsi" w:hAnsiTheme="minorHAnsi"/>
          <w:sz w:val="24"/>
          <w:szCs w:val="24"/>
        </w:rPr>
        <w:t>TierSchlV</w:t>
      </w:r>
      <w:proofErr w:type="spellEnd"/>
    </w:p>
    <w:p w14:paraId="4C3E8CAA"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w:t>
      </w:r>
      <w:r w:rsidRPr="00931EE5">
        <w:rPr>
          <w:rStyle w:val="s1"/>
          <w:rFonts w:asciiTheme="minorHAnsi" w:eastAsiaTheme="majorEastAsia" w:hAnsiTheme="minorHAnsi"/>
          <w:sz w:val="24"/>
          <w:szCs w:val="24"/>
        </w:rPr>
        <w:t xml:space="preserve"> </w:t>
      </w:r>
      <w:r w:rsidRPr="00931EE5">
        <w:rPr>
          <w:rFonts w:asciiTheme="minorHAnsi" w:hAnsiTheme="minorHAnsi"/>
          <w:sz w:val="24"/>
          <w:szCs w:val="24"/>
        </w:rPr>
        <w:t xml:space="preserve">§§ 18 Abs. 3 Nr. 2b) TierSchG, 16 Abs. 4 Nr. 1 </w:t>
      </w:r>
      <w:proofErr w:type="spellStart"/>
      <w:r w:rsidRPr="00931EE5">
        <w:rPr>
          <w:rFonts w:asciiTheme="minorHAnsi" w:hAnsiTheme="minorHAnsi"/>
          <w:sz w:val="24"/>
          <w:szCs w:val="24"/>
        </w:rPr>
        <w:t>TierSchlV</w:t>
      </w:r>
      <w:proofErr w:type="spellEnd"/>
      <w:r w:rsidRPr="00931EE5">
        <w:rPr>
          <w:rFonts w:asciiTheme="minorHAnsi" w:hAnsiTheme="minorHAnsi"/>
          <w:sz w:val="24"/>
          <w:szCs w:val="24"/>
        </w:rPr>
        <w:t>, Art. 7 Abs. 2</w:t>
      </w:r>
    </w:p>
    <w:p w14:paraId="16A73957"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EU-</w:t>
      </w:r>
      <w:proofErr w:type="spellStart"/>
      <w:r w:rsidRPr="00931EE5">
        <w:rPr>
          <w:rFonts w:asciiTheme="minorHAnsi" w:hAnsiTheme="minorHAnsi"/>
          <w:sz w:val="24"/>
          <w:szCs w:val="24"/>
        </w:rPr>
        <w:t>TierSchlV</w:t>
      </w:r>
      <w:proofErr w:type="spellEnd"/>
    </w:p>
    <w:p w14:paraId="284F8171"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w:t>
      </w:r>
      <w:r w:rsidRPr="00931EE5">
        <w:rPr>
          <w:rStyle w:val="s1"/>
          <w:rFonts w:asciiTheme="minorHAnsi" w:eastAsiaTheme="majorEastAsia" w:hAnsiTheme="minorHAnsi"/>
          <w:sz w:val="24"/>
          <w:szCs w:val="24"/>
        </w:rPr>
        <w:t xml:space="preserve"> </w:t>
      </w:r>
      <w:r w:rsidRPr="00931EE5">
        <w:rPr>
          <w:rFonts w:asciiTheme="minorHAnsi" w:hAnsiTheme="minorHAnsi"/>
          <w:sz w:val="24"/>
          <w:szCs w:val="24"/>
        </w:rPr>
        <w:t>§ 18 Abs. 1 Nr. 1 TierSchG</w:t>
      </w:r>
    </w:p>
    <w:p w14:paraId="0D25A6CB"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w:t>
      </w:r>
      <w:r w:rsidRPr="00931EE5">
        <w:rPr>
          <w:rStyle w:val="s1"/>
          <w:rFonts w:asciiTheme="minorHAnsi" w:eastAsiaTheme="majorEastAsia" w:hAnsiTheme="minorHAnsi"/>
          <w:sz w:val="24"/>
          <w:szCs w:val="24"/>
        </w:rPr>
        <w:t xml:space="preserve"> </w:t>
      </w:r>
      <w:r w:rsidRPr="00931EE5">
        <w:rPr>
          <w:rFonts w:asciiTheme="minorHAnsi" w:hAnsiTheme="minorHAnsi"/>
          <w:sz w:val="24"/>
          <w:szCs w:val="24"/>
        </w:rPr>
        <w:t>§ 18 Abs. 1 Nr. 6 TierSchG</w:t>
      </w:r>
    </w:p>
    <w:p w14:paraId="787C6BF2" w14:textId="77777777" w:rsidR="000B66B9" w:rsidRPr="00931EE5" w:rsidRDefault="000B66B9" w:rsidP="000B66B9">
      <w:pPr>
        <w:pStyle w:val="p1"/>
        <w:numPr>
          <w:ilvl w:val="0"/>
          <w:numId w:val="1"/>
        </w:numPr>
        <w:rPr>
          <w:rFonts w:asciiTheme="minorHAnsi" w:hAnsiTheme="minorHAnsi"/>
          <w:sz w:val="24"/>
          <w:szCs w:val="24"/>
        </w:rPr>
      </w:pPr>
      <w:r w:rsidRPr="00931EE5">
        <w:rPr>
          <w:rFonts w:asciiTheme="minorHAnsi" w:hAnsiTheme="minorHAnsi"/>
          <w:sz w:val="24"/>
          <w:szCs w:val="24"/>
        </w:rPr>
        <w:t>-</w:t>
      </w:r>
      <w:r w:rsidRPr="00931EE5">
        <w:rPr>
          <w:rStyle w:val="s1"/>
          <w:rFonts w:asciiTheme="minorHAnsi" w:eastAsiaTheme="majorEastAsia" w:hAnsiTheme="minorHAnsi"/>
          <w:sz w:val="24"/>
          <w:szCs w:val="24"/>
        </w:rPr>
        <w:t xml:space="preserve"> </w:t>
      </w:r>
      <w:r w:rsidRPr="00931EE5">
        <w:rPr>
          <w:rFonts w:asciiTheme="minorHAnsi" w:hAnsiTheme="minorHAnsi"/>
          <w:sz w:val="24"/>
          <w:szCs w:val="24"/>
        </w:rPr>
        <w:t>§ 130 Abs. 1 S. 1 OWiG</w:t>
      </w:r>
    </w:p>
    <w:p w14:paraId="58461794" w14:textId="77777777" w:rsidR="000B66B9" w:rsidRDefault="000B66B9" w:rsidP="000B66B9">
      <w:pPr>
        <w:pStyle w:val="Listenabsatz"/>
        <w:rPr>
          <w:b/>
          <w:bCs/>
        </w:rPr>
      </w:pPr>
    </w:p>
    <w:p w14:paraId="14035B90" w14:textId="77777777" w:rsidR="000B66B9" w:rsidRPr="00DA5BA9" w:rsidRDefault="000B66B9" w:rsidP="000B66B9">
      <w:pPr>
        <w:pStyle w:val="Listenabsatz"/>
        <w:ind w:left="0"/>
        <w:rPr>
          <w:b/>
          <w:bCs/>
        </w:rPr>
      </w:pPr>
      <w:r>
        <w:rPr>
          <w:b/>
          <w:bCs/>
        </w:rPr>
        <w:t xml:space="preserve">Animals a </w:t>
      </w:r>
      <w:proofErr w:type="spellStart"/>
      <w:r>
        <w:rPr>
          <w:b/>
          <w:bCs/>
        </w:rPr>
        <w:t>crime</w:t>
      </w:r>
      <w:proofErr w:type="spellEnd"/>
      <w:r>
        <w:rPr>
          <w:b/>
          <w:bCs/>
        </w:rPr>
        <w:t xml:space="preserve"> regt zudem die Anordnung eines vorläufigen Berufsverbots gem. § 132a Abs. 1 S. 1 StPO gegen die auf dem Videomaterial sichtbaren </w:t>
      </w:r>
      <w:proofErr w:type="spellStart"/>
      <w:proofErr w:type="gramStart"/>
      <w:r>
        <w:rPr>
          <w:b/>
          <w:bCs/>
        </w:rPr>
        <w:t>Mitarbeiter:innen</w:t>
      </w:r>
      <w:proofErr w:type="spellEnd"/>
      <w:proofErr w:type="gramEnd"/>
      <w:r>
        <w:rPr>
          <w:b/>
          <w:bCs/>
        </w:rPr>
        <w:t xml:space="preserve"> an. </w:t>
      </w:r>
    </w:p>
    <w:p w14:paraId="1A36A397" w14:textId="77777777" w:rsidR="000B66B9" w:rsidRPr="000B66B9" w:rsidRDefault="000B66B9" w:rsidP="000B66B9">
      <w:pPr>
        <w:rPr>
          <w:b/>
          <w:bCs/>
        </w:rPr>
      </w:pPr>
    </w:p>
    <w:sectPr w:rsidR="000B66B9" w:rsidRPr="000B6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657F4"/>
    <w:multiLevelType w:val="hybridMultilevel"/>
    <w:tmpl w:val="B8A66DD8"/>
    <w:lvl w:ilvl="0" w:tplc="F9ACBD7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640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B9"/>
    <w:rsid w:val="00004AF7"/>
    <w:rsid w:val="00005F02"/>
    <w:rsid w:val="00011DDF"/>
    <w:rsid w:val="000164CC"/>
    <w:rsid w:val="00023245"/>
    <w:rsid w:val="00034868"/>
    <w:rsid w:val="000376A7"/>
    <w:rsid w:val="00054597"/>
    <w:rsid w:val="00056ED7"/>
    <w:rsid w:val="00057894"/>
    <w:rsid w:val="00064969"/>
    <w:rsid w:val="000710D8"/>
    <w:rsid w:val="000778E2"/>
    <w:rsid w:val="000819B3"/>
    <w:rsid w:val="00083390"/>
    <w:rsid w:val="000852E7"/>
    <w:rsid w:val="0008765C"/>
    <w:rsid w:val="0009289C"/>
    <w:rsid w:val="000A3F03"/>
    <w:rsid w:val="000B66B9"/>
    <w:rsid w:val="000C00C5"/>
    <w:rsid w:val="000C0F63"/>
    <w:rsid w:val="000C590B"/>
    <w:rsid w:val="000D6450"/>
    <w:rsid w:val="000E7107"/>
    <w:rsid w:val="00100226"/>
    <w:rsid w:val="00112B97"/>
    <w:rsid w:val="00142190"/>
    <w:rsid w:val="00144E04"/>
    <w:rsid w:val="00154EFD"/>
    <w:rsid w:val="001637B7"/>
    <w:rsid w:val="00175EC7"/>
    <w:rsid w:val="00176146"/>
    <w:rsid w:val="001821B1"/>
    <w:rsid w:val="00184727"/>
    <w:rsid w:val="00187C07"/>
    <w:rsid w:val="00191A91"/>
    <w:rsid w:val="00195395"/>
    <w:rsid w:val="00197104"/>
    <w:rsid w:val="001E7CE6"/>
    <w:rsid w:val="001F1FFA"/>
    <w:rsid w:val="001F3113"/>
    <w:rsid w:val="00202E07"/>
    <w:rsid w:val="00205227"/>
    <w:rsid w:val="00205665"/>
    <w:rsid w:val="00206208"/>
    <w:rsid w:val="002062B0"/>
    <w:rsid w:val="0021011D"/>
    <w:rsid w:val="00213C91"/>
    <w:rsid w:val="002151EA"/>
    <w:rsid w:val="00216BE5"/>
    <w:rsid w:val="002307EF"/>
    <w:rsid w:val="0023309D"/>
    <w:rsid w:val="0023327A"/>
    <w:rsid w:val="0023739C"/>
    <w:rsid w:val="00245B3E"/>
    <w:rsid w:val="00247F6C"/>
    <w:rsid w:val="002540ED"/>
    <w:rsid w:val="002557A2"/>
    <w:rsid w:val="00267475"/>
    <w:rsid w:val="002700FF"/>
    <w:rsid w:val="00271A3F"/>
    <w:rsid w:val="00281C22"/>
    <w:rsid w:val="00287AFA"/>
    <w:rsid w:val="002925BD"/>
    <w:rsid w:val="00293482"/>
    <w:rsid w:val="002A7DF6"/>
    <w:rsid w:val="002C1141"/>
    <w:rsid w:val="002C7A9F"/>
    <w:rsid w:val="002D0168"/>
    <w:rsid w:val="002D0320"/>
    <w:rsid w:val="002D6598"/>
    <w:rsid w:val="002E0043"/>
    <w:rsid w:val="002E1C1E"/>
    <w:rsid w:val="002E1D39"/>
    <w:rsid w:val="002E51B5"/>
    <w:rsid w:val="002F082C"/>
    <w:rsid w:val="002F7F7E"/>
    <w:rsid w:val="003004E3"/>
    <w:rsid w:val="00306EAD"/>
    <w:rsid w:val="00321657"/>
    <w:rsid w:val="0033439E"/>
    <w:rsid w:val="00334834"/>
    <w:rsid w:val="00343496"/>
    <w:rsid w:val="00350292"/>
    <w:rsid w:val="00351C71"/>
    <w:rsid w:val="00356559"/>
    <w:rsid w:val="00361314"/>
    <w:rsid w:val="00372798"/>
    <w:rsid w:val="003903FE"/>
    <w:rsid w:val="00392D56"/>
    <w:rsid w:val="00397DCB"/>
    <w:rsid w:val="003A7F5D"/>
    <w:rsid w:val="003B0EC7"/>
    <w:rsid w:val="003B4DD1"/>
    <w:rsid w:val="003B69E1"/>
    <w:rsid w:val="003C012F"/>
    <w:rsid w:val="003C0157"/>
    <w:rsid w:val="003C3D68"/>
    <w:rsid w:val="003E5363"/>
    <w:rsid w:val="00400395"/>
    <w:rsid w:val="004014BE"/>
    <w:rsid w:val="004015A1"/>
    <w:rsid w:val="00404C66"/>
    <w:rsid w:val="00406811"/>
    <w:rsid w:val="00424248"/>
    <w:rsid w:val="004247ED"/>
    <w:rsid w:val="0042597A"/>
    <w:rsid w:val="00432D54"/>
    <w:rsid w:val="004459C3"/>
    <w:rsid w:val="00447C24"/>
    <w:rsid w:val="00457E71"/>
    <w:rsid w:val="004630E7"/>
    <w:rsid w:val="00463E5C"/>
    <w:rsid w:val="00464E21"/>
    <w:rsid w:val="004656DA"/>
    <w:rsid w:val="00470CCB"/>
    <w:rsid w:val="00471E95"/>
    <w:rsid w:val="00472BA9"/>
    <w:rsid w:val="004803E8"/>
    <w:rsid w:val="004805DF"/>
    <w:rsid w:val="004872CD"/>
    <w:rsid w:val="004A301B"/>
    <w:rsid w:val="004A7B1C"/>
    <w:rsid w:val="004B0CF3"/>
    <w:rsid w:val="004B2985"/>
    <w:rsid w:val="004D4E04"/>
    <w:rsid w:val="004D6CAE"/>
    <w:rsid w:val="004E5631"/>
    <w:rsid w:val="004F3876"/>
    <w:rsid w:val="00507C28"/>
    <w:rsid w:val="00511E0B"/>
    <w:rsid w:val="00512E4F"/>
    <w:rsid w:val="00516F0C"/>
    <w:rsid w:val="00517493"/>
    <w:rsid w:val="0052647D"/>
    <w:rsid w:val="00543EF6"/>
    <w:rsid w:val="0054475B"/>
    <w:rsid w:val="005548C6"/>
    <w:rsid w:val="005675A0"/>
    <w:rsid w:val="00571F6F"/>
    <w:rsid w:val="00576657"/>
    <w:rsid w:val="00582794"/>
    <w:rsid w:val="0059015F"/>
    <w:rsid w:val="00590EC0"/>
    <w:rsid w:val="005966B4"/>
    <w:rsid w:val="005A1313"/>
    <w:rsid w:val="005B6897"/>
    <w:rsid w:val="005B6ADF"/>
    <w:rsid w:val="005B6EFA"/>
    <w:rsid w:val="005D0A68"/>
    <w:rsid w:val="005D10D5"/>
    <w:rsid w:val="005E4C78"/>
    <w:rsid w:val="005E5FD4"/>
    <w:rsid w:val="005E67F8"/>
    <w:rsid w:val="005E7089"/>
    <w:rsid w:val="005F1E89"/>
    <w:rsid w:val="005F43F0"/>
    <w:rsid w:val="00617736"/>
    <w:rsid w:val="00621B48"/>
    <w:rsid w:val="00624CD8"/>
    <w:rsid w:val="00632B0D"/>
    <w:rsid w:val="00633266"/>
    <w:rsid w:val="006432DE"/>
    <w:rsid w:val="00643458"/>
    <w:rsid w:val="00670966"/>
    <w:rsid w:val="006755A9"/>
    <w:rsid w:val="00675EE2"/>
    <w:rsid w:val="0068487F"/>
    <w:rsid w:val="0068759D"/>
    <w:rsid w:val="00691889"/>
    <w:rsid w:val="00694B4B"/>
    <w:rsid w:val="00697A64"/>
    <w:rsid w:val="006A6DB8"/>
    <w:rsid w:val="006A7058"/>
    <w:rsid w:val="006A75E8"/>
    <w:rsid w:val="006A7DCE"/>
    <w:rsid w:val="006B4049"/>
    <w:rsid w:val="006B4432"/>
    <w:rsid w:val="006C2216"/>
    <w:rsid w:val="006C3407"/>
    <w:rsid w:val="006C4809"/>
    <w:rsid w:val="006C6A83"/>
    <w:rsid w:val="006D1028"/>
    <w:rsid w:val="006D3C57"/>
    <w:rsid w:val="006D3DD1"/>
    <w:rsid w:val="006D58D7"/>
    <w:rsid w:val="006E0E01"/>
    <w:rsid w:val="006E6976"/>
    <w:rsid w:val="006F4FDE"/>
    <w:rsid w:val="006F7C92"/>
    <w:rsid w:val="007014DB"/>
    <w:rsid w:val="00703A21"/>
    <w:rsid w:val="00711B14"/>
    <w:rsid w:val="00712991"/>
    <w:rsid w:val="00727818"/>
    <w:rsid w:val="00737970"/>
    <w:rsid w:val="0074151D"/>
    <w:rsid w:val="00743FAA"/>
    <w:rsid w:val="007522E5"/>
    <w:rsid w:val="0075450F"/>
    <w:rsid w:val="00757976"/>
    <w:rsid w:val="00772191"/>
    <w:rsid w:val="00774AC7"/>
    <w:rsid w:val="007763E4"/>
    <w:rsid w:val="007834FF"/>
    <w:rsid w:val="00790394"/>
    <w:rsid w:val="00792B52"/>
    <w:rsid w:val="00792F19"/>
    <w:rsid w:val="007A2FB6"/>
    <w:rsid w:val="007B56F2"/>
    <w:rsid w:val="007E0D0D"/>
    <w:rsid w:val="007F4553"/>
    <w:rsid w:val="007F4A56"/>
    <w:rsid w:val="007F5CC7"/>
    <w:rsid w:val="008019BC"/>
    <w:rsid w:val="008022A3"/>
    <w:rsid w:val="008138C1"/>
    <w:rsid w:val="008157CB"/>
    <w:rsid w:val="00830B0C"/>
    <w:rsid w:val="00840D12"/>
    <w:rsid w:val="00842850"/>
    <w:rsid w:val="00847B29"/>
    <w:rsid w:val="00850345"/>
    <w:rsid w:val="008649D9"/>
    <w:rsid w:val="00866C23"/>
    <w:rsid w:val="00875DB9"/>
    <w:rsid w:val="00880862"/>
    <w:rsid w:val="008911E8"/>
    <w:rsid w:val="008A015C"/>
    <w:rsid w:val="008A132A"/>
    <w:rsid w:val="008A4578"/>
    <w:rsid w:val="008A6B62"/>
    <w:rsid w:val="008B4439"/>
    <w:rsid w:val="008E3735"/>
    <w:rsid w:val="008F68BB"/>
    <w:rsid w:val="008F7140"/>
    <w:rsid w:val="00905152"/>
    <w:rsid w:val="00915F59"/>
    <w:rsid w:val="00926E7C"/>
    <w:rsid w:val="00930F95"/>
    <w:rsid w:val="00947DCD"/>
    <w:rsid w:val="00953586"/>
    <w:rsid w:val="009562CE"/>
    <w:rsid w:val="00972706"/>
    <w:rsid w:val="0097513D"/>
    <w:rsid w:val="00982733"/>
    <w:rsid w:val="00991182"/>
    <w:rsid w:val="009976EC"/>
    <w:rsid w:val="009A33F8"/>
    <w:rsid w:val="009A50B1"/>
    <w:rsid w:val="009B1B18"/>
    <w:rsid w:val="009C3499"/>
    <w:rsid w:val="009C4F2D"/>
    <w:rsid w:val="009D081A"/>
    <w:rsid w:val="009D10F2"/>
    <w:rsid w:val="009E33EA"/>
    <w:rsid w:val="009E6198"/>
    <w:rsid w:val="009E6EA4"/>
    <w:rsid w:val="009E7536"/>
    <w:rsid w:val="00A004C0"/>
    <w:rsid w:val="00A02B0C"/>
    <w:rsid w:val="00A05600"/>
    <w:rsid w:val="00A12FE4"/>
    <w:rsid w:val="00A13F12"/>
    <w:rsid w:val="00A17403"/>
    <w:rsid w:val="00A22FFB"/>
    <w:rsid w:val="00A350A2"/>
    <w:rsid w:val="00A3792C"/>
    <w:rsid w:val="00A47FD1"/>
    <w:rsid w:val="00A500C8"/>
    <w:rsid w:val="00A60171"/>
    <w:rsid w:val="00A635E4"/>
    <w:rsid w:val="00A7110E"/>
    <w:rsid w:val="00A718F0"/>
    <w:rsid w:val="00A768A5"/>
    <w:rsid w:val="00A87828"/>
    <w:rsid w:val="00A87D74"/>
    <w:rsid w:val="00A902D5"/>
    <w:rsid w:val="00A9580F"/>
    <w:rsid w:val="00A97427"/>
    <w:rsid w:val="00AA05B4"/>
    <w:rsid w:val="00AA1D6B"/>
    <w:rsid w:val="00AA3757"/>
    <w:rsid w:val="00AA6ABC"/>
    <w:rsid w:val="00AB0560"/>
    <w:rsid w:val="00AB15D8"/>
    <w:rsid w:val="00AB6E29"/>
    <w:rsid w:val="00AC6F1F"/>
    <w:rsid w:val="00AC7529"/>
    <w:rsid w:val="00AD1E2D"/>
    <w:rsid w:val="00AD66BE"/>
    <w:rsid w:val="00AF2C7D"/>
    <w:rsid w:val="00B01CA0"/>
    <w:rsid w:val="00B0360D"/>
    <w:rsid w:val="00B10E78"/>
    <w:rsid w:val="00B178FF"/>
    <w:rsid w:val="00B23AFD"/>
    <w:rsid w:val="00B2722A"/>
    <w:rsid w:val="00B33E19"/>
    <w:rsid w:val="00B443AE"/>
    <w:rsid w:val="00B45325"/>
    <w:rsid w:val="00B4625E"/>
    <w:rsid w:val="00B46B42"/>
    <w:rsid w:val="00B46F1F"/>
    <w:rsid w:val="00B53656"/>
    <w:rsid w:val="00B54C84"/>
    <w:rsid w:val="00B55968"/>
    <w:rsid w:val="00B577DA"/>
    <w:rsid w:val="00B60F94"/>
    <w:rsid w:val="00B71482"/>
    <w:rsid w:val="00B7460C"/>
    <w:rsid w:val="00B756F8"/>
    <w:rsid w:val="00B77CF4"/>
    <w:rsid w:val="00B808D1"/>
    <w:rsid w:val="00B816D5"/>
    <w:rsid w:val="00B87B88"/>
    <w:rsid w:val="00BA3FB0"/>
    <w:rsid w:val="00BB5624"/>
    <w:rsid w:val="00BB59D7"/>
    <w:rsid w:val="00BB5F25"/>
    <w:rsid w:val="00BC448C"/>
    <w:rsid w:val="00BE1ACA"/>
    <w:rsid w:val="00BF4C56"/>
    <w:rsid w:val="00BF5ABC"/>
    <w:rsid w:val="00C041B8"/>
    <w:rsid w:val="00C0658F"/>
    <w:rsid w:val="00C07435"/>
    <w:rsid w:val="00C105DB"/>
    <w:rsid w:val="00C16B88"/>
    <w:rsid w:val="00C25BC5"/>
    <w:rsid w:val="00C317A4"/>
    <w:rsid w:val="00C4532A"/>
    <w:rsid w:val="00C46585"/>
    <w:rsid w:val="00C4745E"/>
    <w:rsid w:val="00C47FE6"/>
    <w:rsid w:val="00C54FF6"/>
    <w:rsid w:val="00C644F2"/>
    <w:rsid w:val="00C72FC7"/>
    <w:rsid w:val="00C77C0E"/>
    <w:rsid w:val="00C8006C"/>
    <w:rsid w:val="00C81BCF"/>
    <w:rsid w:val="00C86C78"/>
    <w:rsid w:val="00C87B12"/>
    <w:rsid w:val="00C92C4B"/>
    <w:rsid w:val="00C947DC"/>
    <w:rsid w:val="00C955D2"/>
    <w:rsid w:val="00C95F79"/>
    <w:rsid w:val="00CB5913"/>
    <w:rsid w:val="00CC2A36"/>
    <w:rsid w:val="00CC5ADA"/>
    <w:rsid w:val="00CD5614"/>
    <w:rsid w:val="00CE2309"/>
    <w:rsid w:val="00CE3B68"/>
    <w:rsid w:val="00CE4C51"/>
    <w:rsid w:val="00CF363C"/>
    <w:rsid w:val="00CF3EEF"/>
    <w:rsid w:val="00CF464A"/>
    <w:rsid w:val="00CF7234"/>
    <w:rsid w:val="00D00DC0"/>
    <w:rsid w:val="00D049D8"/>
    <w:rsid w:val="00D15C39"/>
    <w:rsid w:val="00D2188D"/>
    <w:rsid w:val="00D27E9D"/>
    <w:rsid w:val="00D405BB"/>
    <w:rsid w:val="00D40AF9"/>
    <w:rsid w:val="00D41A5D"/>
    <w:rsid w:val="00D43931"/>
    <w:rsid w:val="00D54450"/>
    <w:rsid w:val="00D62DC4"/>
    <w:rsid w:val="00D63EC0"/>
    <w:rsid w:val="00D71B41"/>
    <w:rsid w:val="00D753D7"/>
    <w:rsid w:val="00D9087E"/>
    <w:rsid w:val="00D918B6"/>
    <w:rsid w:val="00D92DAB"/>
    <w:rsid w:val="00D93C17"/>
    <w:rsid w:val="00D949CC"/>
    <w:rsid w:val="00DA18B0"/>
    <w:rsid w:val="00DA27F2"/>
    <w:rsid w:val="00DA4617"/>
    <w:rsid w:val="00DC6D28"/>
    <w:rsid w:val="00DC6DF6"/>
    <w:rsid w:val="00DD01CD"/>
    <w:rsid w:val="00DD0E41"/>
    <w:rsid w:val="00DD7BAE"/>
    <w:rsid w:val="00DE17E9"/>
    <w:rsid w:val="00DE3412"/>
    <w:rsid w:val="00DF1063"/>
    <w:rsid w:val="00DF36CB"/>
    <w:rsid w:val="00DF54B8"/>
    <w:rsid w:val="00E0343C"/>
    <w:rsid w:val="00E15593"/>
    <w:rsid w:val="00E168F4"/>
    <w:rsid w:val="00E17164"/>
    <w:rsid w:val="00E24C8B"/>
    <w:rsid w:val="00E2554C"/>
    <w:rsid w:val="00E35D46"/>
    <w:rsid w:val="00E36038"/>
    <w:rsid w:val="00E42917"/>
    <w:rsid w:val="00E459AD"/>
    <w:rsid w:val="00E5096D"/>
    <w:rsid w:val="00E51912"/>
    <w:rsid w:val="00E649D5"/>
    <w:rsid w:val="00E65BC0"/>
    <w:rsid w:val="00E66424"/>
    <w:rsid w:val="00E6695D"/>
    <w:rsid w:val="00E7170C"/>
    <w:rsid w:val="00E74CCB"/>
    <w:rsid w:val="00E76D48"/>
    <w:rsid w:val="00E77517"/>
    <w:rsid w:val="00E8574A"/>
    <w:rsid w:val="00EA33B6"/>
    <w:rsid w:val="00EB1296"/>
    <w:rsid w:val="00EB280D"/>
    <w:rsid w:val="00EB543F"/>
    <w:rsid w:val="00EC3D87"/>
    <w:rsid w:val="00ED1DE8"/>
    <w:rsid w:val="00ED1EB0"/>
    <w:rsid w:val="00ED29A5"/>
    <w:rsid w:val="00ED5E14"/>
    <w:rsid w:val="00EE3F63"/>
    <w:rsid w:val="00EE465B"/>
    <w:rsid w:val="00EE5D88"/>
    <w:rsid w:val="00EE76FF"/>
    <w:rsid w:val="00EE7B7F"/>
    <w:rsid w:val="00EF121B"/>
    <w:rsid w:val="00F23CC1"/>
    <w:rsid w:val="00F317A7"/>
    <w:rsid w:val="00F32306"/>
    <w:rsid w:val="00F41059"/>
    <w:rsid w:val="00F444DB"/>
    <w:rsid w:val="00F47A64"/>
    <w:rsid w:val="00F47C7D"/>
    <w:rsid w:val="00F50AF2"/>
    <w:rsid w:val="00F62C50"/>
    <w:rsid w:val="00F8435C"/>
    <w:rsid w:val="00F84611"/>
    <w:rsid w:val="00F868D3"/>
    <w:rsid w:val="00F90007"/>
    <w:rsid w:val="00F934EB"/>
    <w:rsid w:val="00F97879"/>
    <w:rsid w:val="00FA3311"/>
    <w:rsid w:val="00FB1646"/>
    <w:rsid w:val="00FB2D4C"/>
    <w:rsid w:val="00FB3366"/>
    <w:rsid w:val="00FC2EAA"/>
    <w:rsid w:val="00FC6154"/>
    <w:rsid w:val="00FE00D7"/>
    <w:rsid w:val="00FE3FEB"/>
    <w:rsid w:val="00FE44C7"/>
    <w:rsid w:val="00FE6756"/>
    <w:rsid w:val="00FF247A"/>
    <w:rsid w:val="00FF6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458FF2"/>
  <w15:chartTrackingRefBased/>
  <w15:docId w15:val="{961309DD-8EF4-D24C-8AA7-1A92D2AD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6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6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66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66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66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66B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66B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66B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66B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B66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66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66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66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66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66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66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66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66B9"/>
    <w:rPr>
      <w:rFonts w:eastAsiaTheme="majorEastAsia" w:cstheme="majorBidi"/>
      <w:color w:val="272727" w:themeColor="text1" w:themeTint="D8"/>
    </w:rPr>
  </w:style>
  <w:style w:type="paragraph" w:styleId="Titel">
    <w:name w:val="Title"/>
    <w:basedOn w:val="Standard"/>
    <w:next w:val="Standard"/>
    <w:link w:val="TitelZchn"/>
    <w:uiPriority w:val="10"/>
    <w:qFormat/>
    <w:rsid w:val="000B66B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66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66B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66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66B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B66B9"/>
    <w:rPr>
      <w:i/>
      <w:iCs/>
      <w:color w:val="404040" w:themeColor="text1" w:themeTint="BF"/>
    </w:rPr>
  </w:style>
  <w:style w:type="paragraph" w:styleId="Listenabsatz">
    <w:name w:val="List Paragraph"/>
    <w:basedOn w:val="Standard"/>
    <w:uiPriority w:val="34"/>
    <w:qFormat/>
    <w:rsid w:val="000B66B9"/>
    <w:pPr>
      <w:ind w:left="720"/>
      <w:contextualSpacing/>
    </w:pPr>
  </w:style>
  <w:style w:type="character" w:styleId="IntensiveHervorhebung">
    <w:name w:val="Intense Emphasis"/>
    <w:basedOn w:val="Absatz-Standardschriftart"/>
    <w:uiPriority w:val="21"/>
    <w:qFormat/>
    <w:rsid w:val="000B66B9"/>
    <w:rPr>
      <w:i/>
      <w:iCs/>
      <w:color w:val="0F4761" w:themeColor="accent1" w:themeShade="BF"/>
    </w:rPr>
  </w:style>
  <w:style w:type="paragraph" w:styleId="IntensivesZitat">
    <w:name w:val="Intense Quote"/>
    <w:basedOn w:val="Standard"/>
    <w:next w:val="Standard"/>
    <w:link w:val="IntensivesZitatZchn"/>
    <w:uiPriority w:val="30"/>
    <w:qFormat/>
    <w:rsid w:val="000B6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66B9"/>
    <w:rPr>
      <w:i/>
      <w:iCs/>
      <w:color w:val="0F4761" w:themeColor="accent1" w:themeShade="BF"/>
    </w:rPr>
  </w:style>
  <w:style w:type="character" w:styleId="IntensiverVerweis">
    <w:name w:val="Intense Reference"/>
    <w:basedOn w:val="Absatz-Standardschriftart"/>
    <w:uiPriority w:val="32"/>
    <w:qFormat/>
    <w:rsid w:val="000B66B9"/>
    <w:rPr>
      <w:b/>
      <w:bCs/>
      <w:smallCaps/>
      <w:color w:val="0F4761" w:themeColor="accent1" w:themeShade="BF"/>
      <w:spacing w:val="5"/>
    </w:rPr>
  </w:style>
  <w:style w:type="paragraph" w:customStyle="1" w:styleId="p1">
    <w:name w:val="p1"/>
    <w:basedOn w:val="Standard"/>
    <w:rsid w:val="000B66B9"/>
    <w:rPr>
      <w:rFonts w:ascii="Times New Roman" w:eastAsia="Times New Roman" w:hAnsi="Times New Roman" w:cs="Times New Roman"/>
      <w:color w:val="000000"/>
      <w:kern w:val="0"/>
      <w:sz w:val="18"/>
      <w:szCs w:val="18"/>
      <w:lang w:eastAsia="de-DE"/>
      <w14:ligatures w14:val="none"/>
    </w:rPr>
  </w:style>
  <w:style w:type="character" w:customStyle="1" w:styleId="s1">
    <w:name w:val="s1"/>
    <w:basedOn w:val="Absatz-Standardschriftart"/>
    <w:rsid w:val="000B66B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Frost</dc:creator>
  <cp:keywords/>
  <dc:description/>
  <cp:lastModifiedBy>Eleanor Frost</cp:lastModifiedBy>
  <cp:revision>1</cp:revision>
  <dcterms:created xsi:type="dcterms:W3CDTF">2025-06-23T08:02:00Z</dcterms:created>
  <dcterms:modified xsi:type="dcterms:W3CDTF">2025-06-23T08:12:00Z</dcterms:modified>
</cp:coreProperties>
</file>